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CLL quick reference</w:t>
      </w:r>
    </w:p>
    <w:p>
      <w:pPr>
        <w:jc w:val="center"/>
      </w:pPr>
      <w:r>
        <w:rPr>
          <w:b/>
          <w:color w:val="C41E3A"/>
          <w:sz w:val="22"/>
        </w:rPr>
        <w:t>v2.0 relapsed/refractory update</w:t>
      </w:r>
    </w:p>
    <w:p>
      <w:pPr>
        <w:jc w:val="center"/>
      </w:pPr>
      <w:r>
        <w:rPr>
          <w:color w:val="6B7280"/>
          <w:sz w:val="18"/>
        </w:rPr>
        <w:t>MHA-CLL-2026-v2.0</w:t>
        <w:br/>
        <w:t>Evidence and access cut-off: 26 July 2026</w:t>
        <w:br/>
        <w:t>Clinical owner: Dr Muhammad Mohsin, Consultant Haematologist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BECEF"/>
            <w:tcBorders>
              <w:top w:val="single" w:sz="8" w:color="C41E3A"/>
              <w:left w:val="single" w:sz="8" w:color="C41E3A"/>
              <w:bottom w:val="single" w:sz="8" w:color="C41E3A"/>
              <w:right w:val="single" w:sz="8" w:color="C41E3A"/>
              <w:insideH w:val="single" w:sz="8" w:color="C41E3A"/>
              <w:insideV w:val="single" w:sz="8" w:color="C41E3A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C41E3A"/>
                <w:sz w:val="17"/>
              </w:rPr>
              <w:t>PUBLISHED EDUCATIONAL GUIDELINE — v2.0 — 27 JULY 2026</w:t>
            </w:r>
          </w:p>
        </w:tc>
      </w:tr>
    </w:tbl>
    <w:p>
      <w:pPr>
        <w:pStyle w:val="MHACallout"/>
      </w:pPr>
      <w:r>
        <w:rPr>
          <w:b/>
        </w:rPr>
        <w:t xml:space="preserve">Clinical decision-support only. </w:t>
      </w:r>
      <w:r>
        <w:t>Not for direct patient use. Use current SmPCs, NICE guidance, NHS commissioning rules, local policy and patient-specific clinical judgement. England-specific NICE/NHS access must not be described as a single UK-wide entitlement.</w:t>
      </w:r>
    </w:p>
    <w:p>
      <w:pPr>
        <w:pStyle w:val="Heading1"/>
      </w:pPr>
      <w:r>
        <w:t>Before any treatment line</w:t>
      </w:r>
    </w:p>
    <w:p>
      <w:pPr>
        <w:pStyle w:val="ListBullet"/>
      </w:pPr>
      <w:r>
        <w:t>Treat only when iwCLL active-disease criteria are met.</w:t>
      </w:r>
    </w:p>
    <w:p>
      <w:pPr>
        <w:pStyle w:val="ListBullet"/>
      </w:pPr>
      <w:r>
        <w:t>Review prior regimen, class, duration, depth of response, reason for stopping and treatment-free interval.</w:t>
      </w:r>
    </w:p>
    <w:p>
      <w:pPr>
        <w:pStyle w:val="ListBullet"/>
      </w:pPr>
      <w:r>
        <w:t>Repeat del(17p) FISH and TP53 sequencing before the next treatment line.</w:t>
      </w:r>
    </w:p>
    <w:p>
      <w:pPr>
        <w:pStyle w:val="ListBullet"/>
      </w:pPr>
      <w:r>
        <w:t>Assess rapidly progressive or asymmetric disease, disproportionate LDH rise or systemic deterioration for Richter transformation; use PET-CT-directed biopsy.</w:t>
      </w:r>
    </w:p>
    <w:p>
      <w:pPr>
        <w:pStyle w:val="ListBullet"/>
      </w:pPr>
      <w:r>
        <w:t>Document fitness, cardiac and bleeding risk, renal function, TLS risk, infection burden, interactions, patient preference and access route.</w:t>
      </w:r>
    </w:p>
    <w:p>
      <w:pPr>
        <w:pStyle w:val="Heading2"/>
        <w:keepNext/>
      </w:pPr>
      <w:r>
        <w:t>First-line orientation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/>
        </w:trPr>
        <w:tc>
          <w:tcPr>
            <w:tcW w:type="dxa" w:w="4933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State</w:t>
            </w:r>
          </w:p>
        </w:tc>
        <w:tc>
          <w:tcPr>
            <w:tcW w:type="dxa" w:w="4933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Route</w:t>
            </w:r>
          </w:p>
        </w:tc>
      </w:tr>
      <w:tr>
        <w:trPr>
          <w:cantSplit/>
        </w:trPr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del(17p) and/or TP53 mutation</w:t>
            </w:r>
          </w:p>
        </w:tc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Targeted therapy only. BSH 2025 favours zanubrutinib or acalabrutinib; TA931 and TA689 apply only within their specified untreated populations. Use current SmPC and Blueteq criteria.</w:t>
            </w:r>
          </w:p>
        </w:tc>
      </w:tr>
      <w:tr>
        <w:trPr>
          <w:cantSplit/>
        </w:trPr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No TP53 abnormality</w:t>
            </w:r>
          </w:p>
        </w:tc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Continuous zanubrutinib/acalabrutinib or fixed-duration venetoclax–obinutuzumab. Decide with the patient and apply the exact treatment-specific NICE criteria.</w:t>
            </w:r>
          </w:p>
        </w:tc>
      </w:tr>
    </w:tbl>
    <w:p/>
    <w:p>
      <w:r>
        <w:br w:type="page"/>
      </w:r>
    </w:p>
    <w:p>
      <w:pPr>
        <w:pStyle w:val="Heading1"/>
      </w:pPr>
      <w:r>
        <w:t>Relapsed/refractory treatment state</w:t>
      </w:r>
    </w:p>
    <w:p>
      <w:pPr>
        <w:pStyle w:val="Heading2"/>
        <w:keepNext/>
      </w:pPr>
      <w:r>
        <w:t>Definitions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/>
        </w:trPr>
        <w:tc>
          <w:tcPr>
            <w:tcW w:type="dxa" w:w="4933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State</w:t>
            </w:r>
          </w:p>
        </w:tc>
        <w:tc>
          <w:tcPr>
            <w:tcW w:type="dxa" w:w="4933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Definition</w:t>
            </w:r>
          </w:p>
        </w:tc>
      </w:tr>
      <w:tr>
        <w:trPr>
          <w:cantSplit/>
        </w:trPr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Intolerant</w:t>
            </w:r>
          </w:p>
        </w:tc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Stopped for toxicity without progression. A better-tolerated agent within class may remain appropriate.</w:t>
            </w:r>
          </w:p>
        </w:tc>
      </w:tr>
      <w:tr>
        <w:trPr>
          <w:cantSplit/>
        </w:trPr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Exposed, not refractory</w:t>
            </w:r>
          </w:p>
        </w:tc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Completed or stopped treatment without progression; sensitivity may remain.</w:t>
            </w:r>
          </w:p>
        </w:tc>
      </w:tr>
      <w:tr>
        <w:trPr>
          <w:cantSplit/>
        </w:trPr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Refractory</w:t>
            </w:r>
          </w:p>
        </w:tc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Progression during active treatment or no meaningful response.</w:t>
            </w:r>
          </w:p>
        </w:tc>
      </w:tr>
      <w:tr>
        <w:trPr>
          <w:cantSplit/>
        </w:trPr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Double exposed</w:t>
            </w:r>
          </w:p>
        </w:tc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Both a covalent BTKi and venetoclax have been used.</w:t>
            </w:r>
          </w:p>
        </w:tc>
      </w:tr>
      <w:tr>
        <w:trPr>
          <w:cantSplit/>
        </w:trPr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Double refractory</w:t>
            </w:r>
          </w:p>
        </w:tc>
        <w:tc>
          <w:tcPr>
            <w:tcW w:type="dxa" w:w="4933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Progression during both classes. Distinct high-risk state; not synonymous with double exposure.</w:t>
            </w:r>
          </w:p>
        </w:tc>
      </w:tr>
    </w:tbl>
    <w:p/>
    <w:p>
      <w:pPr>
        <w:pStyle w:val="Heading2"/>
        <w:keepNext/>
      </w:pPr>
      <w:r>
        <w:t>Sequencing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/>
        </w:trPr>
        <w:tc>
          <w:tcPr>
            <w:tcW w:type="dxa" w:w="3289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Prior-treatment state</w:t>
            </w:r>
          </w:p>
        </w:tc>
        <w:tc>
          <w:tcPr>
            <w:tcW w:type="dxa" w:w="3289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Decision route</w:t>
            </w:r>
          </w:p>
        </w:tc>
        <w:tc>
          <w:tcPr>
            <w:tcW w:type="dxa" w:w="3289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Do not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Covalent-BTKi intolerance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Alternative better-tolerated covalent BTKi or different class according to comorbidity, preference and NICE eligibility.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Do not describe an intolerance switch as efficacy after resistance.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Covalent-BTKi progression; venetoclax naive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Venetoclax-based NICE pathway when eligible; pirtobrutinib under TA1173 when its restriction is met.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Do not continue covalent BTKi monotherapy as definitive resistant-disease treatment.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Relapse after fixed-duration venetoclax response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BTKi or selected venetoclax retreatment after reviewing prior response and treatment-free interval.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Do not extrapolate retreatment evidence to primary or on-treatment resistance.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Venetoclax progression; BTKi naive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NICE-funded covalent BTKi when eligible.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Do not claim a universal randomised sequencing hierarchy.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Double exposed, not double refractory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Individualise by retained sensitivity, prior response and access.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Do not automatically label double refractory.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Double refractory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Early tertiary/trial referral; pirtobrutinib if TA1173 criteria met; highly selected cellular therapy/alloHCT discussion.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Do not imply routine NHS England CLL CAR-T commissioning or established devolved-nation access, or a comparative hierarchy.</w:t>
            </w:r>
          </w:p>
        </w:tc>
      </w:tr>
    </w:tbl>
    <w:p/>
    <w:p>
      <w:r>
        <w:br w:type="page"/>
      </w:r>
    </w:p>
    <w:p>
      <w:pPr>
        <w:pStyle w:val="Heading1"/>
      </w:pPr>
      <w:r>
        <w:t>NICE recommendations and NHS England access at 26 July 2026</w:t>
      </w:r>
    </w:p>
    <w:p>
      <w:pPr>
        <w:pStyle w:val="Heading2"/>
        <w:keepNext/>
      </w:pPr>
      <w:r>
        <w:t>Access and schedule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/>
        </w:trPr>
        <w:tc>
          <w:tcPr>
            <w:tcW w:type="dxa" w:w="3289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Option</w:t>
            </w:r>
          </w:p>
        </w:tc>
        <w:tc>
          <w:tcPr>
            <w:tcW w:type="dxa" w:w="3289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NICE position</w:t>
            </w:r>
          </w:p>
        </w:tc>
        <w:tc>
          <w:tcPr>
            <w:tcW w:type="dxa" w:w="3289"/>
            <w:shd w:fill="1B2A4A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b/>
                <w:color w:val="FFFFFF"/>
                <w:sz w:val="15"/>
              </w:rPr>
              <w:t>Schedule / control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Venetoclax–rituximab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TA561 after ≥1 previous therapy.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Five-week venetoclax ramp-up to 400 mg OD before rituximab; rituximab 375 mg/m² C1D1 then 500 mg/m² D1 C2–6; venetoclax for 24 months from C1D1 rituximab.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Venetoclax monotherapy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TA796: (a) del(17p)/TP53-mutated CLL when a B-cell receptor pathway inhibitor is unsuitable, or after progression on one; or (b) CLL without del(17p)/TP53 mutation after progression following both chemoimmunotherapy and a B-cell receptor pathway inhibitor.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Five-week ramp-up to 400 mg OD; continue until progression or unacceptable toxicity.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Acalabrutinib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TA689 for previously treated CLL and specified untreated populations.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100 mg BD continuously; current SmPC and Blueteq criteria.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Zanubrutinib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TA931 for R/R CLL and specified untreated populations.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  <w:shd w:fill="F3F4F6"/>
          </w:tcPr>
          <w:p>
            <w:r>
              <w:rPr>
                <w:sz w:val="14"/>
              </w:rPr>
              <w:t>160 mg BD or 320 mg OD continuously; current SmPC and Blueteq criteria.</w:t>
            </w:r>
          </w:p>
        </w:tc>
      </w:tr>
      <w:tr>
        <w:trPr>
          <w:cantSplit/>
        </w:trPr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Pirtobrutinib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TA1173: adults with R/R CLL who have had a BTKi, only if covalent-BTKi retreatment, including after a fixed-duration regimen, is not clinically appropriate.</w:t>
            </w:r>
          </w:p>
        </w:tc>
        <w:tc>
          <w:tcPr>
            <w:tcW w:type="dxa" w:w="3289"/>
            <w:tcBorders>
              <w:top w:val="single" w:sz="6" w:color="D7DCE2"/>
              <w:left w:val="single" w:sz="6" w:color="D7DCE2"/>
              <w:bottom w:val="single" w:sz="6" w:color="D7DCE2"/>
              <w:right w:val="single" w:sz="6" w:color="D7DCE2"/>
              <w:insideH w:val="single" w:sz="6" w:color="D7DCE2"/>
              <w:insideV w:val="single" w:sz="6" w:color="D7DCE2"/>
            </w:tcBorders>
          </w:tcPr>
          <w:p>
            <w:r>
              <w:rPr>
                <w:sz w:val="14"/>
              </w:rPr>
              <w:t>200 mg OD continuously. At 26 July 2026 NHS England access remained through interim Blueteq funding; routine-budget implementation was due by 29 September 2026. The broader MHRA licence does not widen NHS funding.</w:t>
            </w:r>
          </w:p>
        </w:tc>
      </w:tr>
    </w:tbl>
    <w:p/>
    <w:p>
      <w:pPr>
        <w:pStyle w:val="MHACallout"/>
      </w:pPr>
      <w:r>
        <w:rPr>
          <w:b/>
        </w:rPr>
        <w:t xml:space="preserve">Venetoclax safety: </w:t>
      </w:r>
      <w:r>
        <w:t>Apply current SmPC TLS stratification, prophylaxis, monitoring, renal-function assessment and interaction management. This card does not replace the prescribing information or local protocol.</w:t>
      </w:r>
    </w:p>
    <w:p>
      <w:pPr>
        <w:pStyle w:val="Heading2"/>
      </w:pPr>
      <w:r>
        <w:t>Emerging or specialist options</w:t>
      </w:r>
    </w:p>
    <w:p>
      <w:pPr>
        <w:pStyle w:val="ListBullet"/>
      </w:pPr>
      <w:r>
        <w:t>Pirtobrutinib–venetoclax–rituximab: phase III BRUIN CLL-322 evidence; NICE ID6566/GID-TA11748 awaiting development at the cut-off. Not routine NHS treatment.</w:t>
      </w:r>
    </w:p>
    <w:p>
      <w:pPr>
        <w:pStyle w:val="ListBullet"/>
      </w:pPr>
      <w:r>
        <w:t>Lisocabtagene maraleucel: single-arm CLL evidence; no demonstrated CLL marketing authorisation, NICE recommendation or routine NHS England commissioning at the cut-off. Devolved-nation access was not established by this audit. NICE ID6174/GID-TA11001 discontinued February 2026.</w:t>
      </w:r>
    </w:p>
    <w:p>
      <w:pPr>
        <w:pStyle w:val="ListBullet"/>
      </w:pPr>
      <w:r>
        <w:t>CD20×CD3 bispecific antibodies: no qualifying peer-reviewed prospective therapeutic trial in untransformed CLL identified through the cut-off. Do not extrapolate Richter or other-lymphoma evidence.</w:t>
      </w:r>
    </w:p>
    <w:p>
      <w:pPr>
        <w:pStyle w:val="Heading2"/>
      </w:pPr>
      <w:r>
        <w:t>Release control</w:t>
      </w:r>
    </w:p>
    <w:p>
      <w:r>
        <w:t>Published 27 July 2026. Independent review, pharmacy verification and clinical-owner authorisation are complete. Educational clinical decision support only; verify current NICE, NHS, SmPC and local policy before prescribing.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color w:val="6B7280"/>
        <w:sz w:val="15"/>
      </w:rPr>
      <w:t>MHA-CLL-2026-v2.0  |  Quick reference  |  Evidence cut-off 26 July 2026  |  Published 27 July 2026</w:t>
    </w:r>
  </w:p>
  <w:p>
    <w:pPr>
      <w:jc w:val="right"/>
    </w:pPr>
    <w:r>
      <w:rPr>
        <w:sz w:val="16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6520"/>
      <w:gridCol w:w="3345"/>
    </w:tblGrid>
    <w:tr>
      <w:tc>
        <w:tcPr>
          <w:tcW w:type="dxa" w:w="4932"/>
          <w:shd w:fill="1B2A4A"/>
        </w:tcPr>
        <w:p>
          <w:pPr>
            <w:jc w:val="left"/>
          </w:pPr>
          <w:r>
            <w:rPr>
              <w:rFonts w:ascii="Arial" w:hAnsi="Arial"/>
              <w:b/>
              <w:color w:val="FFFFFF"/>
              <w:sz w:val="16"/>
            </w:rPr>
            <w:t>MOHSIN HAEMATOLOGY ACADEMY</w:t>
          </w:r>
        </w:p>
      </w:tc>
      <w:tc>
        <w:tcPr>
          <w:tcW w:type="dxa" w:w="4932"/>
          <w:shd w:fill="C41E3A"/>
        </w:tcPr>
        <w:p>
          <w:pPr>
            <w:jc w:val="center"/>
          </w:pPr>
          <w:r>
            <w:rPr>
              <w:rFonts w:ascii="Arial" w:hAnsi="Arial"/>
              <w:b/>
              <w:color w:val="FFFFFF"/>
              <w:sz w:val="16"/>
            </w:rPr>
            <w:t>PUBLISHED v2.0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Georgia" w:hAnsi="Georgia"/>
      <w:color w:val="1B2A4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Georgia" w:hAnsi="Georgia"/>
      <w:b/>
      <w:bCs/>
      <w:color w:val="1B2A4A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Georgia" w:hAnsi="Georgia"/>
      <w:b/>
      <w:bCs/>
      <w:color w:val="C41E3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Georgia" w:hAnsi="Georgia"/>
      <w:b/>
      <w:bCs/>
      <w:color w:val="1B2A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Georgia" w:hAnsi="Georgia"/>
      <w:b/>
      <w:color w:val="1B2A4A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HACallout">
    <w:name w:val="MHA Callout"/>
    <w:pPr>
      <w:spacing w:before="80" w:after="120"/>
      <w:ind w:left="170" w:right="170"/>
    </w:pPr>
    <w:rPr>
      <w:rFonts w:ascii="Georgia" w:hAnsi="Georgia"/>
      <w:color w:val="1B2A4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CLL v2.0 — Quick reference</dc:title>
  <dc:subject>Published educational clinical decision support</dc:subject>
  <dc:creator>Dr Muhammad Mohsin, Consultant Haematologist</dc:creator>
  <cp:keywords>CLL, relapsed refractory, pirtobrutinib, NICE TA1173</cp:keywords>
  <dc:description>Published 27 July 2026 after independent review, pharmacy verification and clinical-owner authorisation.</dc:description>
  <cp:lastModifiedBy/>
  <cp:revision>1</cp:revision>
  <dcterms:created xsi:type="dcterms:W3CDTF">2026-07-26T12:00:00Z</dcterms:created>
  <dcterms:modified xsi:type="dcterms:W3CDTF">2026-07-26T12:00:00Z</dcterms:modified>
  <cp:category/>
</cp:coreProperties>
</file>